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D556" w14:textId="77777777" w:rsidR="00866EFE" w:rsidRDefault="00866EFE" w:rsidP="00EE18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INFORMATIVA GESTIONE PERDITE IDRICHE OCCULTE POST CONTATORE</w:t>
      </w:r>
    </w:p>
    <w:p w14:paraId="34D82354" w14:textId="77777777" w:rsidR="00866EFE" w:rsidRDefault="00866EFE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62D0143F" w14:textId="77777777" w:rsidR="00A34C10" w:rsidRPr="00A34C10" w:rsidRDefault="00A34C10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A34C10">
        <w:rPr>
          <w:rFonts w:cstheme="minorHAnsi"/>
          <w:b/>
          <w:bCs/>
        </w:rPr>
        <w:t>Cosa sono</w:t>
      </w:r>
    </w:p>
    <w:p w14:paraId="63A5A0B5" w14:textId="77777777" w:rsidR="00A34C10" w:rsidRPr="00A34C10" w:rsidRDefault="00A34C10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34C10">
        <w:rPr>
          <w:rFonts w:cstheme="minorHAnsi"/>
        </w:rPr>
        <w:t xml:space="preserve">Vengono chiamate </w:t>
      </w:r>
      <w:r w:rsidR="00866EFE">
        <w:rPr>
          <w:rFonts w:cstheme="minorHAnsi"/>
        </w:rPr>
        <w:t>“</w:t>
      </w:r>
      <w:r w:rsidRPr="00A34C10">
        <w:rPr>
          <w:rFonts w:cstheme="minorHAnsi"/>
        </w:rPr>
        <w:t xml:space="preserve">perdite </w:t>
      </w:r>
      <w:proofErr w:type="gramStart"/>
      <w:r w:rsidRPr="00A34C10">
        <w:rPr>
          <w:rFonts w:cstheme="minorHAnsi"/>
        </w:rPr>
        <w:t>occulte“ tutte</w:t>
      </w:r>
      <w:proofErr w:type="gramEnd"/>
      <w:r w:rsidRPr="00A34C10">
        <w:rPr>
          <w:rFonts w:cstheme="minorHAnsi"/>
        </w:rPr>
        <w:t xml:space="preserve"> quelle perdite d’acqua, a valle dei contatori (nel tratto che va dal contatore</w:t>
      </w:r>
      <w:r>
        <w:rPr>
          <w:rFonts w:cstheme="minorHAnsi"/>
        </w:rPr>
        <w:t xml:space="preserve"> </w:t>
      </w:r>
      <w:r w:rsidRPr="00A34C10">
        <w:rPr>
          <w:rFonts w:cstheme="minorHAnsi"/>
        </w:rPr>
        <w:t>al rubinetto di casa), che per loro natura non sono immediatamente visibili né riscontrabili</w:t>
      </w:r>
      <w:r w:rsidR="00247D5B">
        <w:rPr>
          <w:rFonts w:cstheme="minorHAnsi"/>
        </w:rPr>
        <w:t>,</w:t>
      </w:r>
      <w:r w:rsidRPr="00A34C10">
        <w:rPr>
          <w:rFonts w:cstheme="minorHAnsi"/>
        </w:rPr>
        <w:t xml:space="preserve"> </w:t>
      </w:r>
      <w:r w:rsidR="00010ACD" w:rsidRPr="00486009">
        <w:rPr>
          <w:rFonts w:cstheme="minorHAnsi"/>
        </w:rPr>
        <w:t>derivanti da un fatto accidentale, fortuito ed involontario, a seguito di rottura della condotta per effetto di vetustà, corrosione, guasto o simili cause</w:t>
      </w:r>
      <w:r w:rsidRPr="00A34C10">
        <w:rPr>
          <w:rFonts w:cstheme="minorHAnsi"/>
        </w:rPr>
        <w:t>.</w:t>
      </w:r>
    </w:p>
    <w:p w14:paraId="64132834" w14:textId="77777777" w:rsidR="00A34C10" w:rsidRPr="00A34C10" w:rsidRDefault="00A34C10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34C10">
        <w:rPr>
          <w:rFonts w:cstheme="minorHAnsi"/>
        </w:rPr>
        <w:t>A tale proposito è utile osservare che le assicurazioni sulla casa coprono usualmente le riparazioni e il danno causato a</w:t>
      </w:r>
      <w:r>
        <w:rPr>
          <w:rFonts w:cstheme="minorHAnsi"/>
        </w:rPr>
        <w:t xml:space="preserve"> </w:t>
      </w:r>
      <w:r w:rsidRPr="00A34C10">
        <w:rPr>
          <w:rFonts w:cstheme="minorHAnsi"/>
        </w:rPr>
        <w:t>terzi dallo spandimento, ma NON il corrispettivo per il maggior consumo d’acqua verificatosi.</w:t>
      </w:r>
    </w:p>
    <w:p w14:paraId="4DFA34AC" w14:textId="77777777" w:rsidR="00A34C10" w:rsidRPr="00A34C10" w:rsidRDefault="00A34C10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A34C10">
        <w:rPr>
          <w:rFonts w:cstheme="minorHAnsi"/>
          <w:b/>
          <w:bCs/>
        </w:rPr>
        <w:t>Esempi di cosa non è una “perdita idrica occulta”</w:t>
      </w:r>
    </w:p>
    <w:p w14:paraId="12C385E6" w14:textId="77777777" w:rsidR="00A34C10" w:rsidRPr="00A34C10" w:rsidRDefault="00A34C10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60F0C">
        <w:rPr>
          <w:rFonts w:cstheme="minorHAnsi"/>
          <w:b/>
        </w:rPr>
        <w:t>Non</w:t>
      </w:r>
      <w:r w:rsidRPr="00A34C10">
        <w:rPr>
          <w:rFonts w:cstheme="minorHAnsi"/>
        </w:rPr>
        <w:t xml:space="preserve"> sono perdite idriche occulte quelle:</w:t>
      </w:r>
    </w:p>
    <w:p w14:paraId="71F4931B" w14:textId="77777777" w:rsidR="00A34C10" w:rsidRPr="00486009" w:rsidRDefault="00A34C10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34C10">
        <w:rPr>
          <w:rFonts w:cstheme="minorHAnsi"/>
        </w:rPr>
        <w:t xml:space="preserve">• Che interessano impianti visibili (in quanto ispezionabili e </w:t>
      </w:r>
      <w:proofErr w:type="spellStart"/>
      <w:r w:rsidRPr="00A34C10">
        <w:rPr>
          <w:rFonts w:cstheme="minorHAnsi"/>
        </w:rPr>
        <w:t>manutenibili</w:t>
      </w:r>
      <w:proofErr w:type="spellEnd"/>
      <w:r w:rsidR="00E35AFD">
        <w:rPr>
          <w:rFonts w:cstheme="minorHAnsi"/>
        </w:rPr>
        <w:t xml:space="preserve">, </w:t>
      </w:r>
      <w:r w:rsidR="00E35AFD" w:rsidRPr="00486009">
        <w:rPr>
          <w:rFonts w:cstheme="minorHAnsi"/>
        </w:rPr>
        <w:t>ad esempio pozzetto del contatore o pozzetti di ispezione</w:t>
      </w:r>
      <w:r w:rsidRPr="00486009">
        <w:rPr>
          <w:rFonts w:cstheme="minorHAnsi"/>
        </w:rPr>
        <w:t>);</w:t>
      </w:r>
    </w:p>
    <w:p w14:paraId="4EBC68BF" w14:textId="104376CB" w:rsidR="00A34C10" w:rsidRPr="00486009" w:rsidRDefault="00A34C10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34C10">
        <w:rPr>
          <w:rFonts w:cstheme="minorHAnsi"/>
        </w:rPr>
        <w:t>• Causate da difettoso funzionamento di rubinetti e impianti di scarico</w:t>
      </w:r>
      <w:r w:rsidR="00247D5B">
        <w:rPr>
          <w:rFonts w:cstheme="minorHAnsi"/>
        </w:rPr>
        <w:t xml:space="preserve"> (es. scarico wc)</w:t>
      </w:r>
      <w:r w:rsidRPr="00A34C10">
        <w:rPr>
          <w:rFonts w:cstheme="minorHAnsi"/>
        </w:rPr>
        <w:t xml:space="preserve">, elettrodomestici, impianti di </w:t>
      </w:r>
      <w:r w:rsidR="00FF0779">
        <w:rPr>
          <w:rFonts w:cstheme="minorHAnsi"/>
        </w:rPr>
        <w:t>ut</w:t>
      </w:r>
      <w:r w:rsidRPr="00A34C10">
        <w:rPr>
          <w:rFonts w:cstheme="minorHAnsi"/>
        </w:rPr>
        <w:t>ilizzazione</w:t>
      </w:r>
      <w:r>
        <w:rPr>
          <w:rFonts w:cstheme="minorHAnsi"/>
        </w:rPr>
        <w:t xml:space="preserve"> </w:t>
      </w:r>
      <w:r w:rsidRPr="00A34C10">
        <w:rPr>
          <w:rFonts w:cstheme="minorHAnsi"/>
        </w:rPr>
        <w:t xml:space="preserve">(es. piscine, impianti di raffrescamento, frigoriferi, autoclavi, valvole, caldaie, ecc.), </w:t>
      </w:r>
      <w:r w:rsidRPr="00486009">
        <w:rPr>
          <w:rFonts w:cstheme="minorHAnsi"/>
        </w:rPr>
        <w:t>addolcitori</w:t>
      </w:r>
      <w:r w:rsidR="00E35AFD" w:rsidRPr="00486009">
        <w:rPr>
          <w:rFonts w:cstheme="minorHAnsi"/>
        </w:rPr>
        <w:t xml:space="preserve"> (ad esclusione di autoclavi ed addolcitori collocati in edifici condominiali con utenze multiple)</w:t>
      </w:r>
      <w:r w:rsidRPr="00486009">
        <w:rPr>
          <w:rFonts w:cstheme="minorHAnsi"/>
        </w:rPr>
        <w:t>;</w:t>
      </w:r>
    </w:p>
    <w:p w14:paraId="2D0B3DA1" w14:textId="77777777" w:rsidR="00E35AFD" w:rsidRPr="00486009" w:rsidRDefault="00A34C10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34C10">
        <w:rPr>
          <w:rFonts w:cstheme="minorHAnsi"/>
        </w:rPr>
        <w:t xml:space="preserve">• Causate dal malfunzionamento di parti esterne a vista </w:t>
      </w:r>
      <w:r w:rsidR="00E35AFD" w:rsidRPr="00486009">
        <w:rPr>
          <w:rFonts w:cstheme="minorHAnsi"/>
        </w:rPr>
        <w:t>e</w:t>
      </w:r>
      <w:r w:rsidR="004A0435" w:rsidRPr="00486009">
        <w:rPr>
          <w:rFonts w:cstheme="minorHAnsi"/>
        </w:rPr>
        <w:t>/o</w:t>
      </w:r>
      <w:r w:rsidR="00E35AFD" w:rsidRPr="00486009">
        <w:rPr>
          <w:rFonts w:cstheme="minorHAnsi"/>
        </w:rPr>
        <w:t xml:space="preserve"> elettrovalvole </w:t>
      </w:r>
      <w:r w:rsidRPr="00486009">
        <w:rPr>
          <w:rFonts w:cstheme="minorHAnsi"/>
        </w:rPr>
        <w:t>degli impianti di irrigazione;</w:t>
      </w:r>
    </w:p>
    <w:p w14:paraId="234825F4" w14:textId="77777777" w:rsidR="00E35AFD" w:rsidRPr="00486009" w:rsidRDefault="00E35AFD" w:rsidP="00E35A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86009">
        <w:rPr>
          <w:rFonts w:cstheme="minorHAnsi"/>
        </w:rPr>
        <w:t xml:space="preserve">• Causate dal malfunzionamento </w:t>
      </w:r>
      <w:r w:rsidR="005C05DB" w:rsidRPr="00486009">
        <w:rPr>
          <w:rFonts w:eastAsia="Verdana"/>
          <w:lang w:eastAsia="x-none"/>
        </w:rPr>
        <w:t>di galleggiante/elettrovalvola montati nelle vasche di accumulo degli idranti/impianto antincendio</w:t>
      </w:r>
      <w:r w:rsidRPr="00486009">
        <w:rPr>
          <w:rFonts w:cstheme="minorHAnsi"/>
        </w:rPr>
        <w:t>;</w:t>
      </w:r>
    </w:p>
    <w:p w14:paraId="21E4BAAA" w14:textId="77777777" w:rsidR="00A34C10" w:rsidRPr="00A34C10" w:rsidRDefault="00A34C10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34C10">
        <w:rPr>
          <w:rFonts w:cstheme="minorHAnsi"/>
        </w:rPr>
        <w:t>• Che derivano da danneggiamenti in occasione di interventi di riparazione effettuati dal Cliente (in quanto</w:t>
      </w:r>
      <w:r w:rsidR="00D96620">
        <w:rPr>
          <w:rFonts w:cstheme="minorHAnsi"/>
        </w:rPr>
        <w:t xml:space="preserve"> </w:t>
      </w:r>
      <w:r w:rsidRPr="00A34C10">
        <w:rPr>
          <w:rFonts w:cstheme="minorHAnsi"/>
        </w:rPr>
        <w:t>soggette a controllo diretto o individuabili);</w:t>
      </w:r>
    </w:p>
    <w:p w14:paraId="5ED9C800" w14:textId="77777777" w:rsidR="00A34C10" w:rsidRPr="00A34C10" w:rsidRDefault="00A34C10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34C10">
        <w:rPr>
          <w:rFonts w:cstheme="minorHAnsi"/>
        </w:rPr>
        <w:t>• Conseguenti a rotture delle tubazioni provocate dal Cliente o da terzi;</w:t>
      </w:r>
    </w:p>
    <w:p w14:paraId="63DA8356" w14:textId="77777777" w:rsidR="00A34C10" w:rsidRPr="00A34C10" w:rsidRDefault="00A34C10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34C10">
        <w:rPr>
          <w:rFonts w:cstheme="minorHAnsi"/>
        </w:rPr>
        <w:t>• Che si verificano per cause di forza maggiore (es. terremoti, inondazioni, esplosioni, atti di terrorismo o</w:t>
      </w:r>
      <w:r w:rsidR="00EE18A6">
        <w:rPr>
          <w:rFonts w:cstheme="minorHAnsi"/>
        </w:rPr>
        <w:t xml:space="preserve"> </w:t>
      </w:r>
      <w:r w:rsidRPr="00A34C10">
        <w:rPr>
          <w:rFonts w:cstheme="minorHAnsi"/>
        </w:rPr>
        <w:t>sabotaggio, guerra ecc.).</w:t>
      </w:r>
    </w:p>
    <w:p w14:paraId="50ED6431" w14:textId="77777777" w:rsidR="00A34C10" w:rsidRPr="00A34C10" w:rsidRDefault="00A34C10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A34C10">
        <w:rPr>
          <w:rFonts w:cstheme="minorHAnsi"/>
          <w:b/>
          <w:bCs/>
        </w:rPr>
        <w:t>Come verificare se si ha una “perdita idrica occulta”</w:t>
      </w:r>
    </w:p>
    <w:p w14:paraId="3E297F7F" w14:textId="77777777" w:rsidR="00A34C10" w:rsidRPr="00486009" w:rsidRDefault="00A34C10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34C10">
        <w:rPr>
          <w:rFonts w:cstheme="minorHAnsi"/>
        </w:rPr>
        <w:t>Se si teme che un consumo anomalo di acqua sia dovuto a una perdita nell'impianto privato (dopo il contatore), bisogna</w:t>
      </w:r>
      <w:r>
        <w:rPr>
          <w:rFonts w:cstheme="minorHAnsi"/>
        </w:rPr>
        <w:t xml:space="preserve"> </w:t>
      </w:r>
      <w:r w:rsidRPr="00A34C10">
        <w:rPr>
          <w:rFonts w:cstheme="minorHAnsi"/>
        </w:rPr>
        <w:t xml:space="preserve">farlo verificare da un idraulico. </w:t>
      </w:r>
      <w:proofErr w:type="gramStart"/>
      <w:r w:rsidRPr="00A34C10">
        <w:rPr>
          <w:rFonts w:cstheme="minorHAnsi"/>
        </w:rPr>
        <w:t>E'</w:t>
      </w:r>
      <w:proofErr w:type="gramEnd"/>
      <w:r w:rsidRPr="00A34C10">
        <w:rPr>
          <w:rFonts w:cstheme="minorHAnsi"/>
        </w:rPr>
        <w:t xml:space="preserve"> consigliabile fare prima l'autoverifica: chiudendo bene tutti i rubinetti</w:t>
      </w:r>
      <w:r w:rsidR="005C05DB">
        <w:rPr>
          <w:rFonts w:cstheme="minorHAnsi"/>
        </w:rPr>
        <w:t xml:space="preserve">, </w:t>
      </w:r>
      <w:r w:rsidR="005C05DB" w:rsidRPr="00486009">
        <w:rPr>
          <w:rFonts w:cstheme="minorHAnsi"/>
        </w:rPr>
        <w:t>quindi in assenza di prelievo,</w:t>
      </w:r>
      <w:r w:rsidRPr="00486009">
        <w:rPr>
          <w:rFonts w:cstheme="minorHAnsi"/>
        </w:rPr>
        <w:t xml:space="preserve"> il contatore non </w:t>
      </w:r>
      <w:r w:rsidR="005C05DB" w:rsidRPr="00486009">
        <w:rPr>
          <w:rFonts w:cstheme="minorHAnsi"/>
        </w:rPr>
        <w:t>deve registrare alcun movimento di lancette o numeri. Se i rotatori del</w:t>
      </w:r>
      <w:r w:rsidRPr="00486009">
        <w:rPr>
          <w:rFonts w:cstheme="minorHAnsi"/>
        </w:rPr>
        <w:t xml:space="preserve"> contatore gira</w:t>
      </w:r>
      <w:r w:rsidR="005C05DB" w:rsidRPr="00486009">
        <w:rPr>
          <w:rFonts w:cstheme="minorHAnsi"/>
        </w:rPr>
        <w:t>no</w:t>
      </w:r>
      <w:r w:rsidRPr="00486009">
        <w:rPr>
          <w:rFonts w:cstheme="minorHAnsi"/>
        </w:rPr>
        <w:t>, anche lentamente, si dovrà intervenire per individuare la causa e riparare l'impianto.</w:t>
      </w:r>
    </w:p>
    <w:p w14:paraId="590D00DA" w14:textId="77777777" w:rsidR="00432186" w:rsidRPr="00432186" w:rsidRDefault="00432186" w:rsidP="004321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432186">
        <w:rPr>
          <w:rFonts w:cstheme="minorHAnsi"/>
          <w:b/>
          <w:bCs/>
        </w:rPr>
        <w:t>Cosa fare da subito</w:t>
      </w:r>
    </w:p>
    <w:p w14:paraId="62E6A39A" w14:textId="77777777" w:rsidR="00432186" w:rsidRPr="00432186" w:rsidRDefault="00432186" w:rsidP="004321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32186">
        <w:rPr>
          <w:rFonts w:cstheme="minorHAnsi"/>
        </w:rPr>
        <w:t xml:space="preserve">• Avvisare </w:t>
      </w:r>
      <w:r w:rsidR="00247D5B">
        <w:rPr>
          <w:rFonts w:cstheme="minorHAnsi"/>
        </w:rPr>
        <w:t xml:space="preserve">Aimag </w:t>
      </w:r>
      <w:proofErr w:type="spellStart"/>
      <w:r w:rsidR="00247D5B">
        <w:rPr>
          <w:rFonts w:cstheme="minorHAnsi"/>
        </w:rPr>
        <w:t>SpA</w:t>
      </w:r>
      <w:proofErr w:type="spellEnd"/>
      <w:r w:rsidR="00247D5B">
        <w:rPr>
          <w:rFonts w:cstheme="minorHAnsi"/>
        </w:rPr>
        <w:t xml:space="preserve"> della perdita in atto;</w:t>
      </w:r>
    </w:p>
    <w:p w14:paraId="451F472D" w14:textId="77777777" w:rsidR="00432186" w:rsidRPr="00432186" w:rsidRDefault="00432186" w:rsidP="004321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32186">
        <w:rPr>
          <w:rFonts w:cstheme="minorHAnsi"/>
        </w:rPr>
        <w:t>• Chiamare un idraulico per le riparazioni. I costi di riparazione saranno a carico esclusivo del Cliente;</w:t>
      </w:r>
    </w:p>
    <w:p w14:paraId="5BFA6954" w14:textId="77777777" w:rsidR="00432186" w:rsidRPr="00432186" w:rsidRDefault="00432186" w:rsidP="004321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32186">
        <w:rPr>
          <w:rFonts w:cstheme="minorHAnsi"/>
        </w:rPr>
        <w:t>• In fase di riparazione scattare le foto che evidenzino il punto della perdita e le opere di riparazione;</w:t>
      </w:r>
    </w:p>
    <w:p w14:paraId="30A7AF82" w14:textId="77777777" w:rsidR="00432186" w:rsidRPr="00432186" w:rsidRDefault="00432186" w:rsidP="004321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32186">
        <w:rPr>
          <w:rFonts w:cstheme="minorHAnsi"/>
        </w:rPr>
        <w:t>• Al termine della riparazione effettuare una lettura del contatore, possibilmente comprovata da foto dello stesso;</w:t>
      </w:r>
    </w:p>
    <w:p w14:paraId="2C04C899" w14:textId="77777777" w:rsidR="00432186" w:rsidRPr="00432186" w:rsidRDefault="00432186" w:rsidP="004321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32186">
        <w:rPr>
          <w:rFonts w:cstheme="minorHAnsi"/>
        </w:rPr>
        <w:t>• Conservare fatture di riparazione di</w:t>
      </w:r>
      <w:r w:rsidR="00C60F0C">
        <w:rPr>
          <w:rFonts w:cstheme="minorHAnsi"/>
        </w:rPr>
        <w:t xml:space="preserve"> chi ha eseguito le riparazioni;</w:t>
      </w:r>
    </w:p>
    <w:p w14:paraId="4E905C2A" w14:textId="77777777" w:rsidR="00432186" w:rsidRPr="00432186" w:rsidRDefault="00432186" w:rsidP="004321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32186">
        <w:rPr>
          <w:rFonts w:cstheme="minorHAnsi"/>
        </w:rPr>
        <w:t xml:space="preserve">• Presentare ad Aimag </w:t>
      </w:r>
      <w:proofErr w:type="spellStart"/>
      <w:r w:rsidRPr="00432186">
        <w:rPr>
          <w:rFonts w:cstheme="minorHAnsi"/>
        </w:rPr>
        <w:t>SpA</w:t>
      </w:r>
      <w:proofErr w:type="spellEnd"/>
      <w:r w:rsidRPr="00432186">
        <w:rPr>
          <w:rFonts w:cstheme="minorHAnsi"/>
        </w:rPr>
        <w:t xml:space="preserve"> la suddetta </w:t>
      </w:r>
      <w:r w:rsidR="00247D5B">
        <w:rPr>
          <w:rFonts w:cstheme="minorHAnsi"/>
        </w:rPr>
        <w:t>documentazione</w:t>
      </w:r>
      <w:r w:rsidRPr="00432186">
        <w:rPr>
          <w:rFonts w:cstheme="minorHAnsi"/>
        </w:rPr>
        <w:t xml:space="preserve"> (foto riparazione/foto o lettura del contatore indicando la data di rilevazione/fattura riparazione idraulico con indicata la data di </w:t>
      </w:r>
      <w:r w:rsidR="002059F5">
        <w:rPr>
          <w:rFonts w:cstheme="minorHAnsi"/>
        </w:rPr>
        <w:t>esecuzione dei</w:t>
      </w:r>
      <w:r w:rsidRPr="00432186">
        <w:rPr>
          <w:rFonts w:cstheme="minorHAnsi"/>
        </w:rPr>
        <w:t xml:space="preserve"> lavori) unitamente al modulo di denuncia perdita idrica occulta.</w:t>
      </w:r>
    </w:p>
    <w:p w14:paraId="132C9525" w14:textId="77777777" w:rsidR="009D5150" w:rsidRPr="00A34C10" w:rsidRDefault="009D5150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06276C6" w14:textId="77777777" w:rsidR="00A34C10" w:rsidRPr="00A34C10" w:rsidRDefault="00A34C10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A34C10">
        <w:rPr>
          <w:rFonts w:cstheme="minorHAnsi"/>
          <w:b/>
          <w:bCs/>
        </w:rPr>
        <w:t>Il servizio a copertura delle “perdite idriche occulte”</w:t>
      </w:r>
    </w:p>
    <w:p w14:paraId="4C734499" w14:textId="77777777" w:rsidR="00A34C10" w:rsidRPr="00A34C10" w:rsidRDefault="00A34C10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Aimag</w:t>
      </w:r>
      <w:r w:rsidRPr="00A34C10">
        <w:rPr>
          <w:rFonts w:cstheme="minorHAnsi"/>
        </w:rPr>
        <w:t xml:space="preserve"> </w:t>
      </w:r>
      <w:proofErr w:type="spellStart"/>
      <w:r w:rsidRPr="00A34C10">
        <w:rPr>
          <w:rFonts w:cstheme="minorHAnsi"/>
        </w:rPr>
        <w:t>SpA</w:t>
      </w:r>
      <w:proofErr w:type="spellEnd"/>
      <w:r w:rsidRPr="00A34C10">
        <w:rPr>
          <w:rFonts w:cstheme="minorHAnsi"/>
        </w:rPr>
        <w:t xml:space="preserve"> mette a disposizione dei propri Clienti un servizio</w:t>
      </w:r>
      <w:r w:rsidR="00BA561E" w:rsidRPr="00A34C10">
        <w:rPr>
          <w:rFonts w:cstheme="minorHAnsi"/>
        </w:rPr>
        <w:t xml:space="preserve"> sicuro e</w:t>
      </w:r>
      <w:r w:rsidR="00BA561E">
        <w:rPr>
          <w:rFonts w:cstheme="minorHAnsi"/>
        </w:rPr>
        <w:t xml:space="preserve"> </w:t>
      </w:r>
      <w:r w:rsidR="00BA561E" w:rsidRPr="00A34C10">
        <w:rPr>
          <w:rFonts w:cstheme="minorHAnsi"/>
        </w:rPr>
        <w:t>conveniente</w:t>
      </w:r>
      <w:r w:rsidRPr="00A34C10">
        <w:rPr>
          <w:rFonts w:cstheme="minorHAnsi"/>
        </w:rPr>
        <w:t>, al costo di</w:t>
      </w:r>
      <w:r w:rsidR="00BA561E" w:rsidRPr="00BA561E">
        <w:rPr>
          <w:rFonts w:cstheme="minorHAnsi"/>
        </w:rPr>
        <w:t xml:space="preserve"> </w:t>
      </w:r>
      <w:r w:rsidR="00BA561E" w:rsidRPr="00486009">
        <w:rPr>
          <w:rFonts w:cstheme="minorHAnsi"/>
        </w:rPr>
        <w:t>6,20€</w:t>
      </w:r>
      <w:r w:rsidR="00247D5B">
        <w:rPr>
          <w:rFonts w:cstheme="minorHAnsi"/>
        </w:rPr>
        <w:t>/anno</w:t>
      </w:r>
      <w:r w:rsidR="00BA561E" w:rsidRPr="00486009">
        <w:rPr>
          <w:rFonts w:cstheme="minorHAnsi"/>
        </w:rPr>
        <w:t xml:space="preserve"> per le utenze domestiche e 12,22€</w:t>
      </w:r>
      <w:r w:rsidR="00247D5B">
        <w:rPr>
          <w:rFonts w:cstheme="minorHAnsi"/>
        </w:rPr>
        <w:t>/anno</w:t>
      </w:r>
      <w:r w:rsidR="00BA561E" w:rsidRPr="00486009">
        <w:rPr>
          <w:rFonts w:cstheme="minorHAnsi"/>
        </w:rPr>
        <w:t xml:space="preserve"> per le utenze non domestiche</w:t>
      </w:r>
      <w:r w:rsidRPr="00A34C10">
        <w:rPr>
          <w:rFonts w:cstheme="minorHAnsi"/>
        </w:rPr>
        <w:t>, che permette di abbattere i costi derivanti da una dispersione idrica occulta. Il servizio</w:t>
      </w:r>
      <w:r w:rsidR="00486009">
        <w:rPr>
          <w:rFonts w:cstheme="minorHAnsi"/>
        </w:rPr>
        <w:t xml:space="preserve"> viene proposto da Aimag </w:t>
      </w:r>
      <w:proofErr w:type="spellStart"/>
      <w:r w:rsidR="00486009">
        <w:rPr>
          <w:rFonts w:cstheme="minorHAnsi"/>
        </w:rPr>
        <w:t>SpA</w:t>
      </w:r>
      <w:proofErr w:type="spellEnd"/>
      <w:r w:rsidR="00486009">
        <w:rPr>
          <w:rFonts w:cstheme="minorHAnsi"/>
        </w:rPr>
        <w:t xml:space="preserve"> al cliente e sottoscritto </w:t>
      </w:r>
      <w:r w:rsidRPr="00A34C10">
        <w:rPr>
          <w:rFonts w:cstheme="minorHAnsi"/>
        </w:rPr>
        <w:t>al mom</w:t>
      </w:r>
      <w:r w:rsidR="00486009">
        <w:rPr>
          <w:rFonts w:cstheme="minorHAnsi"/>
        </w:rPr>
        <w:t xml:space="preserve">ento della stipula contrattuale o </w:t>
      </w:r>
      <w:r w:rsidR="00C60F0C">
        <w:rPr>
          <w:rFonts w:cstheme="minorHAnsi"/>
        </w:rPr>
        <w:t xml:space="preserve">attivato </w:t>
      </w:r>
      <w:r w:rsidR="00486009">
        <w:rPr>
          <w:rFonts w:cstheme="minorHAnsi"/>
        </w:rPr>
        <w:t>successivamente su espressa richiesta del cliente stesso.</w:t>
      </w:r>
    </w:p>
    <w:p w14:paraId="7D1B8409" w14:textId="77777777" w:rsidR="00A34C10" w:rsidRPr="00A34C10" w:rsidRDefault="00A34C10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B4278">
        <w:rPr>
          <w:rFonts w:cstheme="minorHAnsi"/>
        </w:rPr>
        <w:t>Qualora invece il Cliente intenda rinunciare alla copertura</w:t>
      </w:r>
      <w:r w:rsidR="00BB4278">
        <w:rPr>
          <w:rFonts w:cstheme="minorHAnsi"/>
        </w:rPr>
        <w:t xml:space="preserve"> precedentemente sottoscritta </w:t>
      </w:r>
      <w:r w:rsidRPr="00BB4278">
        <w:rPr>
          <w:rFonts w:cstheme="minorHAnsi"/>
        </w:rPr>
        <w:t>e restare esposto al rischio, sarà sufficiente che comunichi la</w:t>
      </w:r>
      <w:r>
        <w:rPr>
          <w:rFonts w:cstheme="minorHAnsi"/>
        </w:rPr>
        <w:t xml:space="preserve"> </w:t>
      </w:r>
      <w:r w:rsidRPr="00A34C10">
        <w:rPr>
          <w:rFonts w:cstheme="minorHAnsi"/>
        </w:rPr>
        <w:t>propria volontà di non aderire, compilando l’apposito modulo disponibile sul sito web www.</w:t>
      </w:r>
      <w:r>
        <w:rPr>
          <w:rFonts w:cstheme="minorHAnsi"/>
        </w:rPr>
        <w:t>Aimag</w:t>
      </w:r>
      <w:r w:rsidRPr="00A34C10">
        <w:rPr>
          <w:rFonts w:cstheme="minorHAnsi"/>
        </w:rPr>
        <w:t>.it o presso</w:t>
      </w:r>
      <w:r>
        <w:rPr>
          <w:rFonts w:cstheme="minorHAnsi"/>
        </w:rPr>
        <w:t xml:space="preserve"> </w:t>
      </w:r>
      <w:r w:rsidRPr="00A34C10">
        <w:rPr>
          <w:rFonts w:cstheme="minorHAnsi"/>
        </w:rPr>
        <w:t>gli sportelli.</w:t>
      </w:r>
    </w:p>
    <w:p w14:paraId="23A54109" w14:textId="77777777" w:rsidR="00A34C10" w:rsidRPr="00A34C10" w:rsidRDefault="00A34C10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34C10">
        <w:rPr>
          <w:rFonts w:cstheme="minorHAnsi"/>
        </w:rPr>
        <w:t>Tipologie di utenza sulla quale è attivo il servizio di copertura per le “perdite idriche occulte”:</w:t>
      </w:r>
    </w:p>
    <w:p w14:paraId="15BCC22D" w14:textId="77777777" w:rsidR="00A34C10" w:rsidRPr="00A34C10" w:rsidRDefault="00A34C10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34C10">
        <w:rPr>
          <w:rFonts w:cstheme="minorHAnsi"/>
        </w:rPr>
        <w:t>• utenze domestiche: la quota del servizio verrà addebitata per la singola utenza servita.</w:t>
      </w:r>
    </w:p>
    <w:p w14:paraId="0571EBE7" w14:textId="77777777" w:rsidR="00A34C10" w:rsidRPr="00A34C10" w:rsidRDefault="00A34C10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34C10">
        <w:rPr>
          <w:rFonts w:cstheme="minorHAnsi"/>
        </w:rPr>
        <w:t>• utenze non domestiche: la quota del servizio verrà addebitata per la singola utenza servita.</w:t>
      </w:r>
    </w:p>
    <w:p w14:paraId="7E73AF31" w14:textId="77777777" w:rsidR="00A34C10" w:rsidRPr="00A34C10" w:rsidRDefault="00A34C10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34C10">
        <w:rPr>
          <w:rFonts w:cstheme="minorHAnsi"/>
        </w:rPr>
        <w:t>• utenze condominiali: verrà addebitata una quota per ogni unità immobiliare indiretta servita.</w:t>
      </w:r>
    </w:p>
    <w:p w14:paraId="3714E66F" w14:textId="77777777" w:rsidR="00A34C10" w:rsidRPr="00A34C10" w:rsidRDefault="00A34C10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7D8FF13" w14:textId="77777777" w:rsidR="00A34C10" w:rsidRPr="00A34C10" w:rsidRDefault="00A34C10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34C10">
        <w:rPr>
          <w:rFonts w:cstheme="minorHAnsi"/>
        </w:rPr>
        <w:t>Non sono coperti dal servizio i contratti relativi a:</w:t>
      </w:r>
    </w:p>
    <w:p w14:paraId="1ABE5213" w14:textId="77777777" w:rsidR="00A34C10" w:rsidRDefault="00A34C10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34C10">
        <w:rPr>
          <w:rFonts w:cstheme="minorHAnsi"/>
        </w:rPr>
        <w:t>• cantieri edili</w:t>
      </w:r>
    </w:p>
    <w:p w14:paraId="125F5209" w14:textId="77777777" w:rsidR="00FA359B" w:rsidRPr="00A34C10" w:rsidRDefault="00FA359B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34C10">
        <w:rPr>
          <w:rFonts w:cstheme="minorHAnsi"/>
        </w:rPr>
        <w:t xml:space="preserve">• </w:t>
      </w:r>
      <w:r>
        <w:rPr>
          <w:rFonts w:cstheme="minorHAnsi"/>
        </w:rPr>
        <w:t>forniture temporanee</w:t>
      </w:r>
    </w:p>
    <w:p w14:paraId="6DDAE069" w14:textId="77777777" w:rsidR="00FA359B" w:rsidRPr="00BB4278" w:rsidRDefault="00A34C10" w:rsidP="00A34C10">
      <w:pPr>
        <w:jc w:val="both"/>
        <w:rPr>
          <w:rFonts w:cstheme="minorHAnsi"/>
        </w:rPr>
      </w:pPr>
      <w:r w:rsidRPr="00BB4278">
        <w:rPr>
          <w:rFonts w:cstheme="minorHAnsi"/>
        </w:rPr>
        <w:t xml:space="preserve">• </w:t>
      </w:r>
      <w:r w:rsidR="00FA359B" w:rsidRPr="00BB4278">
        <w:rPr>
          <w:rFonts w:cstheme="minorHAnsi"/>
        </w:rPr>
        <w:t>uso zootecnico</w:t>
      </w:r>
    </w:p>
    <w:p w14:paraId="00DFFE61" w14:textId="77777777" w:rsidR="00311C31" w:rsidRPr="00BB4278" w:rsidRDefault="00311C31" w:rsidP="00311C31">
      <w:pPr>
        <w:pStyle w:val="Default"/>
        <w:jc w:val="both"/>
        <w:rPr>
          <w:rFonts w:eastAsia="Verdana"/>
          <w:color w:val="auto"/>
          <w:sz w:val="22"/>
          <w:szCs w:val="22"/>
          <w:lang w:eastAsia="x-none"/>
        </w:rPr>
      </w:pPr>
      <w:r w:rsidRPr="00BB4278">
        <w:rPr>
          <w:rFonts w:eastAsia="Verdana"/>
          <w:color w:val="auto"/>
          <w:sz w:val="22"/>
          <w:szCs w:val="22"/>
          <w:lang w:eastAsia="x-none"/>
        </w:rPr>
        <w:lastRenderedPageBreak/>
        <w:t>Sono inoltre escluse le perdite, anche se occulte, riparate in economia dall’utente.</w:t>
      </w:r>
    </w:p>
    <w:p w14:paraId="2C2E87D0" w14:textId="77777777" w:rsidR="00311C31" w:rsidRPr="00BB4278" w:rsidRDefault="00311C31" w:rsidP="00311C31">
      <w:pPr>
        <w:pStyle w:val="Default"/>
        <w:jc w:val="both"/>
        <w:rPr>
          <w:color w:val="auto"/>
          <w:sz w:val="23"/>
          <w:szCs w:val="23"/>
        </w:rPr>
      </w:pPr>
    </w:p>
    <w:p w14:paraId="101CEF5D" w14:textId="77777777" w:rsidR="00311C31" w:rsidRPr="00BB4278" w:rsidRDefault="00C60F0C" w:rsidP="00311C31">
      <w:pPr>
        <w:tabs>
          <w:tab w:val="left" w:pos="284"/>
          <w:tab w:val="left" w:pos="567"/>
        </w:tabs>
        <w:spacing w:after="0"/>
        <w:jc w:val="both"/>
        <w:rPr>
          <w:rFonts w:eastAsia="Verdana" w:cstheme="minorHAnsi"/>
          <w:lang w:eastAsia="x-none"/>
        </w:rPr>
      </w:pPr>
      <w:r>
        <w:rPr>
          <w:rFonts w:eastAsia="Verdana" w:cstheme="minorHAnsi"/>
          <w:lang w:eastAsia="x-none"/>
        </w:rPr>
        <w:t>N</w:t>
      </w:r>
      <w:r w:rsidR="00311C31" w:rsidRPr="00BB4278">
        <w:rPr>
          <w:rFonts w:eastAsia="Verdana" w:cstheme="minorHAnsi"/>
          <w:lang w:eastAsia="x-none"/>
        </w:rPr>
        <w:t xml:space="preserve">on verrà liquidato più di un sinistro anno (365 giorni) per utenza, calcolato dalla data della precedente riparazione. </w:t>
      </w:r>
    </w:p>
    <w:p w14:paraId="411775A0" w14:textId="77777777" w:rsidR="00A34C10" w:rsidRPr="00A34C10" w:rsidRDefault="00A34C10" w:rsidP="00A34C10">
      <w:pPr>
        <w:jc w:val="both"/>
        <w:rPr>
          <w:rFonts w:cstheme="minorHAnsi"/>
        </w:rPr>
      </w:pPr>
    </w:p>
    <w:p w14:paraId="3C084B1D" w14:textId="77777777" w:rsidR="00A34C10" w:rsidRPr="00A34C10" w:rsidRDefault="00A34C10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A34C10">
        <w:rPr>
          <w:rFonts w:cstheme="minorHAnsi"/>
          <w:b/>
          <w:bCs/>
          <w:color w:val="000000"/>
        </w:rPr>
        <w:t>Denuncia della “perdita idrica occulta”</w:t>
      </w:r>
    </w:p>
    <w:p w14:paraId="25365A60" w14:textId="77777777" w:rsidR="00A34C10" w:rsidRPr="00A34C10" w:rsidRDefault="00A34C10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34C10">
        <w:rPr>
          <w:rFonts w:cstheme="minorHAnsi"/>
          <w:color w:val="000000"/>
        </w:rPr>
        <w:t xml:space="preserve">Nel momento in cui il Cliente ravvisi un consumo anomalo dovrà </w:t>
      </w:r>
      <w:r w:rsidR="00D541C0" w:rsidRPr="00BB4278">
        <w:rPr>
          <w:rFonts w:cstheme="minorHAnsi"/>
        </w:rPr>
        <w:t xml:space="preserve">provvedere alla riparazione ed al suo termine </w:t>
      </w:r>
      <w:r w:rsidRPr="00A34C10">
        <w:rPr>
          <w:rFonts w:cstheme="minorHAnsi"/>
          <w:color w:val="000000"/>
        </w:rPr>
        <w:t>segnalare la circostanza compilando l'apposito modulo</w:t>
      </w:r>
      <w:r>
        <w:rPr>
          <w:rFonts w:cstheme="minorHAnsi"/>
          <w:color w:val="000000"/>
        </w:rPr>
        <w:t xml:space="preserve"> </w:t>
      </w:r>
      <w:r w:rsidRPr="00A34C10">
        <w:rPr>
          <w:rFonts w:cstheme="minorHAnsi"/>
          <w:color w:val="000000"/>
        </w:rPr>
        <w:t>e seguendo le istruzioni in esso contenute (il modulo per la denuncia della perdita idrica occulta è scaricabile</w:t>
      </w:r>
      <w:r>
        <w:rPr>
          <w:rFonts w:cstheme="minorHAnsi"/>
          <w:color w:val="000000"/>
        </w:rPr>
        <w:t xml:space="preserve"> </w:t>
      </w:r>
      <w:r w:rsidRPr="00A34C10">
        <w:rPr>
          <w:rFonts w:cstheme="minorHAnsi"/>
          <w:color w:val="000000"/>
        </w:rPr>
        <w:t xml:space="preserve">direttamente dal sito web </w:t>
      </w:r>
      <w:proofErr w:type="gramStart"/>
      <w:r w:rsidRPr="00A34C10">
        <w:rPr>
          <w:rFonts w:cstheme="minorHAnsi"/>
          <w:color w:val="0000FF"/>
        </w:rPr>
        <w:t>www.</w:t>
      </w:r>
      <w:r>
        <w:rPr>
          <w:rFonts w:cstheme="minorHAnsi"/>
          <w:color w:val="0000FF"/>
        </w:rPr>
        <w:t>aimag</w:t>
      </w:r>
      <w:r w:rsidRPr="00A34C10">
        <w:rPr>
          <w:rFonts w:cstheme="minorHAnsi"/>
          <w:color w:val="0000FF"/>
        </w:rPr>
        <w:t xml:space="preserve">.it </w:t>
      </w:r>
      <w:r w:rsidRPr="00A34C10">
        <w:rPr>
          <w:rFonts w:cstheme="minorHAnsi"/>
          <w:color w:val="000000"/>
        </w:rPr>
        <w:t>)</w:t>
      </w:r>
      <w:proofErr w:type="gramEnd"/>
      <w:r w:rsidRPr="00A34C10">
        <w:rPr>
          <w:rFonts w:cstheme="minorHAnsi"/>
          <w:color w:val="000000"/>
        </w:rPr>
        <w:t xml:space="preserve"> e disponibile presso gli uffici di </w:t>
      </w:r>
      <w:r>
        <w:rPr>
          <w:rFonts w:cstheme="minorHAnsi"/>
          <w:color w:val="000000"/>
        </w:rPr>
        <w:t>Aimag</w:t>
      </w:r>
      <w:r w:rsidRPr="00A34C10">
        <w:rPr>
          <w:rFonts w:cstheme="minorHAnsi"/>
          <w:color w:val="000000"/>
        </w:rPr>
        <w:t>.</w:t>
      </w:r>
    </w:p>
    <w:p w14:paraId="3135C940" w14:textId="77777777" w:rsidR="00A34C10" w:rsidRPr="00A34C10" w:rsidRDefault="00A34C10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34C10">
        <w:rPr>
          <w:rFonts w:cstheme="minorHAnsi"/>
          <w:color w:val="000000"/>
        </w:rPr>
        <w:t>La copertura</w:t>
      </w:r>
      <w:r>
        <w:rPr>
          <w:rFonts w:cstheme="minorHAnsi"/>
          <w:color w:val="000000"/>
        </w:rPr>
        <w:t xml:space="preserve"> della perdita sarà subordinata</w:t>
      </w:r>
      <w:r w:rsidRPr="00A34C10">
        <w:rPr>
          <w:rFonts w:cstheme="minorHAnsi"/>
          <w:color w:val="000000"/>
        </w:rPr>
        <w:t>:</w:t>
      </w:r>
    </w:p>
    <w:p w14:paraId="777674D0" w14:textId="77777777" w:rsidR="00A34C10" w:rsidRDefault="00A34C10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34C10">
        <w:rPr>
          <w:rFonts w:cstheme="minorHAnsi"/>
          <w:color w:val="000000"/>
        </w:rPr>
        <w:t xml:space="preserve">• alla presentazione </w:t>
      </w:r>
      <w:r w:rsidRPr="00BB4278">
        <w:rPr>
          <w:rFonts w:cstheme="minorHAnsi"/>
        </w:rPr>
        <w:t>d</w:t>
      </w:r>
      <w:r w:rsidR="00F76D1A" w:rsidRPr="00BB4278">
        <w:rPr>
          <w:rFonts w:cstheme="minorHAnsi"/>
        </w:rPr>
        <w:t>ella</w:t>
      </w:r>
      <w:r w:rsidRPr="00BB4278">
        <w:rPr>
          <w:rFonts w:cstheme="minorHAnsi"/>
        </w:rPr>
        <w:t xml:space="preserve"> documentazione </w:t>
      </w:r>
      <w:r w:rsidR="00F76D1A" w:rsidRPr="00BB4278">
        <w:rPr>
          <w:rFonts w:cstheme="minorHAnsi"/>
        </w:rPr>
        <w:t xml:space="preserve">completa </w:t>
      </w:r>
      <w:r w:rsidRPr="00A34C10">
        <w:rPr>
          <w:rFonts w:cstheme="minorHAnsi"/>
          <w:color w:val="000000"/>
        </w:rPr>
        <w:t>che attesti la riparazione della fuga.</w:t>
      </w:r>
    </w:p>
    <w:p w14:paraId="166C443B" w14:textId="77777777" w:rsidR="009E6205" w:rsidRPr="00BB4278" w:rsidRDefault="009E6205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34C10">
        <w:rPr>
          <w:rFonts w:cstheme="minorHAnsi"/>
          <w:color w:val="000000"/>
        </w:rPr>
        <w:t xml:space="preserve">• </w:t>
      </w:r>
      <w:r w:rsidR="00247D5B">
        <w:rPr>
          <w:rFonts w:cstheme="minorHAnsi"/>
        </w:rPr>
        <w:t>all’importo</w:t>
      </w:r>
      <w:r w:rsidRPr="00BB4278">
        <w:rPr>
          <w:rFonts w:cstheme="minorHAnsi"/>
        </w:rPr>
        <w:t xml:space="preserve"> della fattura di fuga emessa per il consumo anomalo riscontrato:</w:t>
      </w:r>
    </w:p>
    <w:p w14:paraId="528237DE" w14:textId="77777777" w:rsidR="009E6205" w:rsidRPr="00BB4278" w:rsidRDefault="009E6205" w:rsidP="00394E43">
      <w:pPr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eastAsia="Verdana" w:cstheme="minorHAnsi"/>
          <w:lang w:eastAsia="x-none"/>
        </w:rPr>
      </w:pPr>
      <w:r w:rsidRPr="00BB4278">
        <w:rPr>
          <w:rFonts w:eastAsia="Verdana" w:cstheme="minorHAnsi"/>
          <w:lang w:eastAsia="x-none"/>
        </w:rPr>
        <w:t>-</w:t>
      </w:r>
      <w:r w:rsidRPr="00BB4278">
        <w:rPr>
          <w:rFonts w:eastAsia="Verdana" w:cstheme="minorHAnsi"/>
          <w:lang w:eastAsia="x-none"/>
        </w:rPr>
        <w:tab/>
        <w:t>Totale fattura minore di 100</w:t>
      </w:r>
      <w:r w:rsidR="00394E43">
        <w:rPr>
          <w:rFonts w:eastAsia="Verdana" w:cstheme="minorHAnsi"/>
          <w:lang w:eastAsia="x-none"/>
        </w:rPr>
        <w:t xml:space="preserve">,00 </w:t>
      </w:r>
      <w:r w:rsidRPr="00BB4278">
        <w:rPr>
          <w:rFonts w:eastAsia="Verdana" w:cstheme="minorHAnsi"/>
          <w:lang w:eastAsia="x-none"/>
        </w:rPr>
        <w:t>€: nessun indennizzo;</w:t>
      </w:r>
    </w:p>
    <w:p w14:paraId="68A60E79" w14:textId="77777777" w:rsidR="008C73AD" w:rsidRPr="008C73AD" w:rsidRDefault="008C73AD" w:rsidP="00394E43">
      <w:pPr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eastAsia="Verdana" w:cstheme="minorHAnsi"/>
          <w:lang w:eastAsia="x-none"/>
        </w:rPr>
      </w:pPr>
      <w:r w:rsidRPr="008C73AD">
        <w:rPr>
          <w:rFonts w:eastAsia="Verdana" w:cstheme="minorHAnsi"/>
          <w:lang w:eastAsia="x-none"/>
        </w:rPr>
        <w:t>-</w:t>
      </w:r>
      <w:r w:rsidRPr="008C73AD">
        <w:rPr>
          <w:rFonts w:eastAsia="Verdana" w:cstheme="minorHAnsi"/>
          <w:lang w:eastAsia="x-none"/>
        </w:rPr>
        <w:tab/>
        <w:t>Totale fattura compreso tra 100</w:t>
      </w:r>
      <w:r w:rsidR="00394E43">
        <w:rPr>
          <w:rFonts w:eastAsia="Verdana" w:cstheme="minorHAnsi"/>
          <w:lang w:eastAsia="x-none"/>
        </w:rPr>
        <w:t xml:space="preserve">,00 </w:t>
      </w:r>
      <w:r w:rsidRPr="008C73AD">
        <w:rPr>
          <w:rFonts w:eastAsia="Verdana" w:cstheme="minorHAnsi"/>
          <w:lang w:eastAsia="x-none"/>
        </w:rPr>
        <w:t>€ e 199,99</w:t>
      </w:r>
      <w:r w:rsidR="00394E43">
        <w:rPr>
          <w:rFonts w:eastAsia="Verdana" w:cstheme="minorHAnsi"/>
          <w:lang w:eastAsia="x-none"/>
        </w:rPr>
        <w:t xml:space="preserve"> </w:t>
      </w:r>
      <w:r w:rsidRPr="008C73AD">
        <w:rPr>
          <w:rFonts w:eastAsia="Verdana" w:cstheme="minorHAnsi"/>
          <w:lang w:eastAsia="x-none"/>
        </w:rPr>
        <w:t>€: l’indennizzo sarà erogato per un valore pari al 40% dell’importo totale;</w:t>
      </w:r>
    </w:p>
    <w:p w14:paraId="45861518" w14:textId="77777777" w:rsidR="008C73AD" w:rsidRPr="008C73AD" w:rsidRDefault="008C73AD" w:rsidP="00394E43">
      <w:pPr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eastAsia="Verdana" w:cstheme="minorHAnsi"/>
          <w:lang w:eastAsia="x-none"/>
        </w:rPr>
      </w:pPr>
      <w:r w:rsidRPr="008C73AD">
        <w:rPr>
          <w:rFonts w:eastAsia="Verdana" w:cstheme="minorHAnsi"/>
          <w:lang w:eastAsia="x-none"/>
        </w:rPr>
        <w:t>-</w:t>
      </w:r>
      <w:r w:rsidRPr="008C73AD">
        <w:rPr>
          <w:rFonts w:eastAsia="Verdana" w:cstheme="minorHAnsi"/>
          <w:lang w:eastAsia="x-none"/>
        </w:rPr>
        <w:tab/>
        <w:t>Totale fattura compreso tra 200</w:t>
      </w:r>
      <w:r w:rsidR="00394E43">
        <w:rPr>
          <w:rFonts w:eastAsia="Verdana" w:cstheme="minorHAnsi"/>
          <w:lang w:eastAsia="x-none"/>
        </w:rPr>
        <w:t xml:space="preserve">,00 </w:t>
      </w:r>
      <w:r w:rsidRPr="008C73AD">
        <w:rPr>
          <w:rFonts w:eastAsia="Verdana" w:cstheme="minorHAnsi"/>
          <w:lang w:eastAsia="x-none"/>
        </w:rPr>
        <w:t>€ e 999,99</w:t>
      </w:r>
      <w:r w:rsidR="00394E43">
        <w:rPr>
          <w:rFonts w:eastAsia="Verdana" w:cstheme="minorHAnsi"/>
          <w:lang w:eastAsia="x-none"/>
        </w:rPr>
        <w:t xml:space="preserve"> </w:t>
      </w:r>
      <w:r w:rsidRPr="008C73AD">
        <w:rPr>
          <w:rFonts w:eastAsia="Verdana" w:cstheme="minorHAnsi"/>
          <w:lang w:eastAsia="x-none"/>
        </w:rPr>
        <w:t>€: l’indennizzo sarà erogato per un valore pari al 65% dell’importo totale</w:t>
      </w:r>
    </w:p>
    <w:p w14:paraId="43E40B17" w14:textId="77777777" w:rsidR="008C73AD" w:rsidRPr="008C73AD" w:rsidRDefault="008C73AD" w:rsidP="00394E43">
      <w:pPr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eastAsia="Verdana" w:cstheme="minorHAnsi"/>
          <w:lang w:eastAsia="x-none"/>
        </w:rPr>
      </w:pPr>
      <w:r w:rsidRPr="008C73AD">
        <w:rPr>
          <w:rFonts w:eastAsia="Verdana" w:cstheme="minorHAnsi"/>
          <w:lang w:eastAsia="x-none"/>
        </w:rPr>
        <w:t>-</w:t>
      </w:r>
      <w:r w:rsidRPr="008C73AD">
        <w:rPr>
          <w:rFonts w:eastAsia="Verdana" w:cstheme="minorHAnsi"/>
          <w:lang w:eastAsia="x-none"/>
        </w:rPr>
        <w:tab/>
        <w:t>Totale fattura compreso tra 1</w:t>
      </w:r>
      <w:r w:rsidR="00247D5B">
        <w:rPr>
          <w:rFonts w:eastAsia="Verdana" w:cstheme="minorHAnsi"/>
          <w:lang w:eastAsia="x-none"/>
        </w:rPr>
        <w:t>.</w:t>
      </w:r>
      <w:r w:rsidRPr="008C73AD">
        <w:rPr>
          <w:rFonts w:eastAsia="Verdana" w:cstheme="minorHAnsi"/>
          <w:lang w:eastAsia="x-none"/>
        </w:rPr>
        <w:t>000</w:t>
      </w:r>
      <w:r w:rsidR="00394E43">
        <w:rPr>
          <w:rFonts w:eastAsia="Verdana" w:cstheme="minorHAnsi"/>
          <w:lang w:eastAsia="x-none"/>
        </w:rPr>
        <w:t xml:space="preserve">,00 </w:t>
      </w:r>
      <w:r w:rsidRPr="008C73AD">
        <w:rPr>
          <w:rFonts w:eastAsia="Verdana" w:cstheme="minorHAnsi"/>
          <w:lang w:eastAsia="x-none"/>
        </w:rPr>
        <w:t>€ e 4</w:t>
      </w:r>
      <w:r w:rsidR="00247D5B">
        <w:rPr>
          <w:rFonts w:eastAsia="Verdana" w:cstheme="minorHAnsi"/>
          <w:lang w:eastAsia="x-none"/>
        </w:rPr>
        <w:t>.</w:t>
      </w:r>
      <w:r w:rsidRPr="008C73AD">
        <w:rPr>
          <w:rFonts w:eastAsia="Verdana" w:cstheme="minorHAnsi"/>
          <w:lang w:eastAsia="x-none"/>
        </w:rPr>
        <w:t>999,99</w:t>
      </w:r>
      <w:r w:rsidR="00394E43">
        <w:rPr>
          <w:rFonts w:eastAsia="Verdana" w:cstheme="minorHAnsi"/>
          <w:lang w:eastAsia="x-none"/>
        </w:rPr>
        <w:t xml:space="preserve"> </w:t>
      </w:r>
      <w:r w:rsidRPr="008C73AD">
        <w:rPr>
          <w:rFonts w:eastAsia="Verdana" w:cstheme="minorHAnsi"/>
          <w:lang w:eastAsia="x-none"/>
        </w:rPr>
        <w:t>€: l’indennizzo sarà erogato per un valore pari al 75% dell’importo totale</w:t>
      </w:r>
    </w:p>
    <w:p w14:paraId="1E8A553D" w14:textId="77777777" w:rsidR="008C73AD" w:rsidRPr="008C73AD" w:rsidRDefault="008C73AD" w:rsidP="00394E43">
      <w:pPr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eastAsia="Verdana" w:cstheme="minorHAnsi"/>
          <w:lang w:eastAsia="x-none"/>
        </w:rPr>
      </w:pPr>
      <w:r w:rsidRPr="008C73AD">
        <w:rPr>
          <w:rFonts w:eastAsia="Verdana" w:cstheme="minorHAnsi"/>
          <w:lang w:eastAsia="x-none"/>
        </w:rPr>
        <w:t>-</w:t>
      </w:r>
      <w:r w:rsidRPr="008C73AD">
        <w:rPr>
          <w:rFonts w:eastAsia="Verdana" w:cstheme="minorHAnsi"/>
          <w:lang w:eastAsia="x-none"/>
        </w:rPr>
        <w:tab/>
        <w:t>Totale fattura compreso tra 5</w:t>
      </w:r>
      <w:r w:rsidR="00247D5B">
        <w:rPr>
          <w:rFonts w:eastAsia="Verdana" w:cstheme="minorHAnsi"/>
          <w:lang w:eastAsia="x-none"/>
        </w:rPr>
        <w:t>.</w:t>
      </w:r>
      <w:r w:rsidRPr="008C73AD">
        <w:rPr>
          <w:rFonts w:eastAsia="Verdana" w:cstheme="minorHAnsi"/>
          <w:lang w:eastAsia="x-none"/>
        </w:rPr>
        <w:t>000</w:t>
      </w:r>
      <w:r w:rsidR="00394E43">
        <w:rPr>
          <w:rFonts w:eastAsia="Verdana" w:cstheme="minorHAnsi"/>
          <w:lang w:eastAsia="x-none"/>
        </w:rPr>
        <w:t xml:space="preserve">,00 </w:t>
      </w:r>
      <w:r w:rsidRPr="008C73AD">
        <w:rPr>
          <w:rFonts w:eastAsia="Verdana" w:cstheme="minorHAnsi"/>
          <w:lang w:eastAsia="x-none"/>
        </w:rPr>
        <w:t>€ e 9</w:t>
      </w:r>
      <w:r w:rsidR="00247D5B">
        <w:rPr>
          <w:rFonts w:eastAsia="Verdana" w:cstheme="minorHAnsi"/>
          <w:lang w:eastAsia="x-none"/>
        </w:rPr>
        <w:t>.</w:t>
      </w:r>
      <w:r w:rsidRPr="008C73AD">
        <w:rPr>
          <w:rFonts w:eastAsia="Verdana" w:cstheme="minorHAnsi"/>
          <w:lang w:eastAsia="x-none"/>
        </w:rPr>
        <w:t>999,99</w:t>
      </w:r>
      <w:r w:rsidR="00394E43">
        <w:rPr>
          <w:rFonts w:eastAsia="Verdana" w:cstheme="minorHAnsi"/>
          <w:lang w:eastAsia="x-none"/>
        </w:rPr>
        <w:t xml:space="preserve"> </w:t>
      </w:r>
      <w:r w:rsidRPr="008C73AD">
        <w:rPr>
          <w:rFonts w:eastAsia="Verdana" w:cstheme="minorHAnsi"/>
          <w:lang w:eastAsia="x-none"/>
        </w:rPr>
        <w:t>€: l’indennizzo sarà erogato per un valore pari al 80% dell’importo totale</w:t>
      </w:r>
    </w:p>
    <w:p w14:paraId="3BF4BD82" w14:textId="77777777" w:rsidR="009E6205" w:rsidRPr="00BB4278" w:rsidRDefault="008C73AD" w:rsidP="00394E43">
      <w:pPr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eastAsia="Verdana" w:cstheme="minorHAnsi"/>
          <w:lang w:eastAsia="x-none"/>
        </w:rPr>
      </w:pPr>
      <w:r w:rsidRPr="008C73AD">
        <w:rPr>
          <w:rFonts w:eastAsia="Verdana" w:cstheme="minorHAnsi"/>
          <w:lang w:eastAsia="x-none"/>
        </w:rPr>
        <w:t>-</w:t>
      </w:r>
      <w:r w:rsidRPr="008C73AD">
        <w:rPr>
          <w:rFonts w:eastAsia="Verdana" w:cstheme="minorHAnsi"/>
          <w:lang w:eastAsia="x-none"/>
        </w:rPr>
        <w:tab/>
        <w:t>Totale fattura maggiore o uguale a 10.000</w:t>
      </w:r>
      <w:r w:rsidR="00394E43">
        <w:rPr>
          <w:rFonts w:eastAsia="Verdana" w:cstheme="minorHAnsi"/>
          <w:lang w:eastAsia="x-none"/>
        </w:rPr>
        <w:t xml:space="preserve">,00 </w:t>
      </w:r>
      <w:proofErr w:type="gramStart"/>
      <w:r w:rsidRPr="008C73AD">
        <w:rPr>
          <w:rFonts w:eastAsia="Verdana" w:cstheme="minorHAnsi"/>
          <w:lang w:eastAsia="x-none"/>
        </w:rPr>
        <w:t>€ :</w:t>
      </w:r>
      <w:proofErr w:type="gramEnd"/>
      <w:r w:rsidRPr="008C73AD">
        <w:rPr>
          <w:rFonts w:eastAsia="Verdana" w:cstheme="minorHAnsi"/>
          <w:lang w:eastAsia="x-none"/>
        </w:rPr>
        <w:t xml:space="preserve"> l’indennizzo sarà erogato per un valore pari al 90% dell’importo totale fino ad un massimale stabilito di 20.000,00 €</w:t>
      </w:r>
      <w:r w:rsidR="009E6205" w:rsidRPr="00BB4278">
        <w:rPr>
          <w:rFonts w:eastAsia="Verdana" w:cstheme="minorHAnsi"/>
          <w:lang w:eastAsia="x-none"/>
        </w:rPr>
        <w:t>.</w:t>
      </w:r>
    </w:p>
    <w:p w14:paraId="3716EE7B" w14:textId="77777777" w:rsidR="009E6205" w:rsidRPr="00BB4278" w:rsidRDefault="009E6205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B4278">
        <w:rPr>
          <w:rFonts w:cstheme="minorHAnsi"/>
        </w:rPr>
        <w:t xml:space="preserve">• Per totale fattura si intende la somma delle </w:t>
      </w:r>
      <w:r w:rsidRPr="00BB4278">
        <w:rPr>
          <w:rFonts w:eastAsia="Verdana" w:cstheme="minorHAnsi"/>
          <w:lang w:eastAsia="x-none"/>
        </w:rPr>
        <w:t>seguenti voci: Acquedotto + Fognatura + Depurazione + Oneri di perequazione + Iva.</w:t>
      </w:r>
    </w:p>
    <w:p w14:paraId="05C7BEC0" w14:textId="77777777" w:rsidR="00866EFE" w:rsidRDefault="00866EFE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AED8BF6" w14:textId="77777777" w:rsidR="008C73AD" w:rsidRPr="00A34C10" w:rsidRDefault="008C73AD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61F4FC1" w14:textId="77777777" w:rsidR="00A34C10" w:rsidRPr="00A34C10" w:rsidRDefault="00A34C10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A34C10">
        <w:rPr>
          <w:rFonts w:cstheme="minorHAnsi"/>
          <w:b/>
          <w:bCs/>
          <w:color w:val="000000"/>
        </w:rPr>
        <w:t>Cosa fare per portare a termine positivamente la pratica di “dispersione idrica occulta”</w:t>
      </w:r>
    </w:p>
    <w:p w14:paraId="5A4394D3" w14:textId="77777777" w:rsidR="00A34C10" w:rsidRPr="00A34C10" w:rsidRDefault="00A34C10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A34C10">
        <w:rPr>
          <w:rFonts w:cstheme="minorHAnsi"/>
          <w:color w:val="000000"/>
        </w:rPr>
        <w:t>il Cliente che intende segnalare un maggior consumo presuntivamente dovuto a perdita</w:t>
      </w:r>
      <w:r>
        <w:rPr>
          <w:rFonts w:cstheme="minorHAnsi"/>
          <w:color w:val="000000"/>
        </w:rPr>
        <w:t xml:space="preserve"> </w:t>
      </w:r>
      <w:r w:rsidRPr="00A34C10">
        <w:rPr>
          <w:rFonts w:cstheme="minorHAnsi"/>
          <w:color w:val="000000"/>
        </w:rPr>
        <w:t>d’acqua, per poter beneficiare della prestazione, deve:</w:t>
      </w:r>
    </w:p>
    <w:p w14:paraId="6DB14A33" w14:textId="7FA58BE6" w:rsidR="0060413D" w:rsidRDefault="0060413D" w:rsidP="0060413D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60413D">
        <w:rPr>
          <w:rFonts w:asciiTheme="minorHAnsi" w:hAnsiTheme="minorHAnsi" w:cstheme="minorHAnsi"/>
          <w:sz w:val="22"/>
          <w:szCs w:val="22"/>
        </w:rPr>
        <w:t xml:space="preserve">vvisare </w:t>
      </w:r>
      <w:r>
        <w:rPr>
          <w:rFonts w:asciiTheme="minorHAnsi" w:hAnsiTheme="minorHAnsi" w:cstheme="minorHAnsi"/>
          <w:sz w:val="22"/>
          <w:szCs w:val="22"/>
        </w:rPr>
        <w:t xml:space="preserve">subito </w:t>
      </w:r>
      <w:r w:rsidR="00FF0779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imag della perdita in atto;</w:t>
      </w:r>
    </w:p>
    <w:p w14:paraId="457887C7" w14:textId="77777777" w:rsidR="00432186" w:rsidRPr="00432186" w:rsidRDefault="00432186" w:rsidP="00432186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32186">
        <w:rPr>
          <w:rFonts w:asciiTheme="minorHAnsi" w:hAnsiTheme="minorHAnsi" w:cstheme="minorHAnsi"/>
          <w:sz w:val="22"/>
          <w:szCs w:val="22"/>
        </w:rPr>
        <w:t>fare quanto è possibile per evitare o diminuire il danno;</w:t>
      </w:r>
    </w:p>
    <w:p w14:paraId="3BFDC3DF" w14:textId="77777777" w:rsidR="00432186" w:rsidRPr="00432186" w:rsidRDefault="00432186" w:rsidP="00432186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32186">
        <w:rPr>
          <w:rFonts w:asciiTheme="minorHAnsi" w:hAnsiTheme="minorHAnsi" w:cstheme="minorHAnsi"/>
          <w:sz w:val="22"/>
          <w:szCs w:val="22"/>
        </w:rPr>
        <w:t>eseguire la riparazione tassativamente entro 30 giorni dalla data di</w:t>
      </w:r>
      <w:r w:rsidR="0060413D">
        <w:rPr>
          <w:rFonts w:asciiTheme="minorHAnsi" w:hAnsiTheme="minorHAnsi" w:cstheme="minorHAnsi"/>
          <w:sz w:val="22"/>
          <w:szCs w:val="22"/>
        </w:rPr>
        <w:t xml:space="preserve"> individuazione della fuga, ovvero dalla data di</w:t>
      </w:r>
      <w:r w:rsidRPr="00432186">
        <w:rPr>
          <w:rFonts w:asciiTheme="minorHAnsi" w:hAnsiTheme="minorHAnsi" w:cstheme="minorHAnsi"/>
          <w:sz w:val="22"/>
          <w:szCs w:val="22"/>
        </w:rPr>
        <w:t xml:space="preserve"> avviso da parte del gestore o, </w:t>
      </w:r>
      <w:r w:rsidR="0060413D">
        <w:rPr>
          <w:rFonts w:asciiTheme="minorHAnsi" w:hAnsiTheme="minorHAnsi" w:cstheme="minorHAnsi"/>
          <w:sz w:val="22"/>
          <w:szCs w:val="22"/>
        </w:rPr>
        <w:t>in mancanza di avviso</w:t>
      </w:r>
      <w:r w:rsidRPr="00432186">
        <w:rPr>
          <w:rFonts w:asciiTheme="minorHAnsi" w:hAnsiTheme="minorHAnsi" w:cstheme="minorHAnsi"/>
          <w:sz w:val="22"/>
          <w:szCs w:val="22"/>
        </w:rPr>
        <w:t xml:space="preserve">, </w:t>
      </w:r>
      <w:r w:rsidR="0060413D">
        <w:rPr>
          <w:rFonts w:asciiTheme="minorHAnsi" w:hAnsiTheme="minorHAnsi" w:cstheme="minorHAnsi"/>
          <w:sz w:val="22"/>
          <w:szCs w:val="22"/>
        </w:rPr>
        <w:t xml:space="preserve">dalla data di </w:t>
      </w:r>
      <w:r w:rsidRPr="00432186">
        <w:rPr>
          <w:rFonts w:asciiTheme="minorHAnsi" w:hAnsiTheme="minorHAnsi" w:cstheme="minorHAnsi"/>
          <w:sz w:val="22"/>
          <w:szCs w:val="22"/>
        </w:rPr>
        <w:t>scadenza della fattura riportante un importo maggiore rispetto al consumo medio storico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1500F0B" w14:textId="77777777" w:rsidR="00F907AE" w:rsidRPr="00432186" w:rsidRDefault="00432186" w:rsidP="00432186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32186">
        <w:rPr>
          <w:rFonts w:asciiTheme="minorHAnsi" w:hAnsiTheme="minorHAnsi" w:cstheme="minorHAnsi"/>
          <w:sz w:val="22"/>
          <w:szCs w:val="22"/>
        </w:rPr>
        <w:t>denunciare tempestivamente il sinistro all’Azienda presentando a riparazione ultimata, la fattura di riparazione con indicata la data di esecuzione, le fotografie delle fasi di ripristino dell’impianto e la foto/ lettura del contatore indicando la data di rilevazione;</w:t>
      </w:r>
    </w:p>
    <w:p w14:paraId="475DC1FB" w14:textId="77777777" w:rsidR="00236A9B" w:rsidRPr="00236A9B" w:rsidRDefault="00F907AE" w:rsidP="00236A9B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36A9B">
        <w:rPr>
          <w:rFonts w:asciiTheme="minorHAnsi" w:hAnsiTheme="minorHAnsi" w:cstheme="minorHAnsi"/>
          <w:sz w:val="22"/>
          <w:szCs w:val="22"/>
        </w:rPr>
        <w:t>conservare le tracce e i residui del sinistro fino a definizione della pratica. Restano in ogni caso esclusi i casi di dolo, furto e le spese sostenute per la ricerca della perdita di acqua e per la riparazione dell’impianto;</w:t>
      </w:r>
    </w:p>
    <w:p w14:paraId="72E7A1BB" w14:textId="77777777" w:rsidR="00236A9B" w:rsidRPr="00236A9B" w:rsidRDefault="00F907AE" w:rsidP="00236A9B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36A9B">
        <w:rPr>
          <w:rFonts w:asciiTheme="minorHAnsi" w:hAnsiTheme="minorHAnsi" w:cstheme="minorHAnsi"/>
          <w:sz w:val="22"/>
          <w:szCs w:val="22"/>
        </w:rPr>
        <w:t>qualora la Società lo ritenesse necessario, consentire all’incaricato dalla Società di prendere visione della riparazione del punto di rottura o della messa in opera della nuova linea o in alternativa delle tracce e i residui del sinistro;</w:t>
      </w:r>
    </w:p>
    <w:p w14:paraId="3B34842F" w14:textId="77777777" w:rsidR="00F907AE" w:rsidRPr="00236A9B" w:rsidRDefault="00F907AE" w:rsidP="00236A9B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236A9B">
        <w:rPr>
          <w:rFonts w:asciiTheme="minorHAnsi" w:hAnsiTheme="minorHAnsi" w:cstheme="minorHAnsi"/>
          <w:sz w:val="22"/>
          <w:szCs w:val="22"/>
        </w:rPr>
        <w:t>controfirmare, se richiesto, il verbale di sopralluogo redatto dal Perito incaricato dalla Società apponendo, se nel caso, le sue riserve.</w:t>
      </w:r>
    </w:p>
    <w:p w14:paraId="68BFE5A6" w14:textId="77777777" w:rsidR="00F907AE" w:rsidRDefault="00F907AE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4DA04B2" w14:textId="77777777" w:rsidR="00F907AE" w:rsidRDefault="00F907AE" w:rsidP="00A34C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AF2F003" w14:textId="77777777" w:rsidR="00236A9B" w:rsidRDefault="00A34C10" w:rsidP="00376B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36A9B">
        <w:rPr>
          <w:rFonts w:cstheme="minorHAnsi"/>
        </w:rPr>
        <w:t xml:space="preserve">Per qualsiasi informazione, il Cliente potrà rivolgersi al numero verde </w:t>
      </w:r>
      <w:r w:rsidR="00F907AE" w:rsidRPr="00236A9B">
        <w:rPr>
          <w:rFonts w:cstheme="minorHAnsi"/>
        </w:rPr>
        <w:t xml:space="preserve">800 018 405 oppure ai nostri sportelli clienti o inviare una </w:t>
      </w:r>
      <w:proofErr w:type="gramStart"/>
      <w:r w:rsidR="00F907AE" w:rsidRPr="00236A9B">
        <w:rPr>
          <w:rFonts w:cstheme="minorHAnsi"/>
        </w:rPr>
        <w:t>email</w:t>
      </w:r>
      <w:proofErr w:type="gramEnd"/>
      <w:r w:rsidR="00F907AE" w:rsidRPr="00236A9B">
        <w:rPr>
          <w:rFonts w:cstheme="minorHAnsi"/>
        </w:rPr>
        <w:t xml:space="preserve"> all’indirizzo </w:t>
      </w:r>
      <w:hyperlink r:id="rId5" w:history="1">
        <w:r w:rsidR="00236A9B" w:rsidRPr="00D44B8D">
          <w:rPr>
            <w:rStyle w:val="Collegamentoipertestuale"/>
            <w:rFonts w:cstheme="minorHAnsi"/>
          </w:rPr>
          <w:t>fughe@aimag.it</w:t>
        </w:r>
      </w:hyperlink>
      <w:r w:rsidRPr="00236A9B">
        <w:rPr>
          <w:rFonts w:cstheme="minorHAnsi"/>
        </w:rPr>
        <w:t>.</w:t>
      </w:r>
    </w:p>
    <w:p w14:paraId="34EE8AA4" w14:textId="1AF5DD8F" w:rsidR="001E3A61" w:rsidRPr="00236A9B" w:rsidRDefault="001E3A61" w:rsidP="00376B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1E3A61" w:rsidRPr="00236A9B" w:rsidSect="00024B7E">
      <w:pgSz w:w="11906" w:h="16838" w:code="9"/>
      <w:pgMar w:top="1185" w:right="518" w:bottom="529" w:left="70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94A7D"/>
    <w:multiLevelType w:val="hybridMultilevel"/>
    <w:tmpl w:val="C90A0888"/>
    <w:lvl w:ilvl="0" w:tplc="FFFFFFFF">
      <w:start w:val="14"/>
      <w:numFmt w:val="bullet"/>
      <w:lvlText w:val="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23DB4"/>
    <w:multiLevelType w:val="hybridMultilevel"/>
    <w:tmpl w:val="7F381E46"/>
    <w:lvl w:ilvl="0" w:tplc="AC327A1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87ABD"/>
    <w:multiLevelType w:val="hybridMultilevel"/>
    <w:tmpl w:val="CC906080"/>
    <w:lvl w:ilvl="0" w:tplc="30FE110E">
      <w:start w:val="14"/>
      <w:numFmt w:val="bullet"/>
      <w:lvlText w:val="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Arial" w:hint="default"/>
      </w:rPr>
    </w:lvl>
    <w:lvl w:ilvl="1" w:tplc="CCC4F8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3244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86B1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EC80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241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D2D3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7ED7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4441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0283374">
    <w:abstractNumId w:val="2"/>
  </w:num>
  <w:num w:numId="2" w16cid:durableId="502286788">
    <w:abstractNumId w:val="0"/>
  </w:num>
  <w:num w:numId="3" w16cid:durableId="499931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C10"/>
    <w:rsid w:val="00010ACD"/>
    <w:rsid w:val="00024B7E"/>
    <w:rsid w:val="000F4C9E"/>
    <w:rsid w:val="001552FF"/>
    <w:rsid w:val="001E3A61"/>
    <w:rsid w:val="001F73AE"/>
    <w:rsid w:val="002059F5"/>
    <w:rsid w:val="0022530F"/>
    <w:rsid w:val="00236A9B"/>
    <w:rsid w:val="00244EA5"/>
    <w:rsid w:val="00247D5B"/>
    <w:rsid w:val="00311C31"/>
    <w:rsid w:val="003556A7"/>
    <w:rsid w:val="00376B51"/>
    <w:rsid w:val="00394A10"/>
    <w:rsid w:val="00394E43"/>
    <w:rsid w:val="003A55D1"/>
    <w:rsid w:val="004105AB"/>
    <w:rsid w:val="00432186"/>
    <w:rsid w:val="00463562"/>
    <w:rsid w:val="0047407B"/>
    <w:rsid w:val="00481804"/>
    <w:rsid w:val="00486009"/>
    <w:rsid w:val="00491669"/>
    <w:rsid w:val="004A0435"/>
    <w:rsid w:val="004C7AD1"/>
    <w:rsid w:val="00552A6D"/>
    <w:rsid w:val="005C05DB"/>
    <w:rsid w:val="0060413D"/>
    <w:rsid w:val="0063478D"/>
    <w:rsid w:val="006B5742"/>
    <w:rsid w:val="006E7998"/>
    <w:rsid w:val="00704596"/>
    <w:rsid w:val="007D4DC5"/>
    <w:rsid w:val="00801B61"/>
    <w:rsid w:val="00866EFE"/>
    <w:rsid w:val="008C73AD"/>
    <w:rsid w:val="009D5150"/>
    <w:rsid w:val="009E6205"/>
    <w:rsid w:val="00A34497"/>
    <w:rsid w:val="00A34C10"/>
    <w:rsid w:val="00A416D8"/>
    <w:rsid w:val="00A43729"/>
    <w:rsid w:val="00A61B9D"/>
    <w:rsid w:val="00A73A86"/>
    <w:rsid w:val="00A7671D"/>
    <w:rsid w:val="00A93E2A"/>
    <w:rsid w:val="00BA561E"/>
    <w:rsid w:val="00BB4278"/>
    <w:rsid w:val="00C60F0C"/>
    <w:rsid w:val="00D16731"/>
    <w:rsid w:val="00D32CB6"/>
    <w:rsid w:val="00D3522C"/>
    <w:rsid w:val="00D541C0"/>
    <w:rsid w:val="00D8791E"/>
    <w:rsid w:val="00D96620"/>
    <w:rsid w:val="00DB5D01"/>
    <w:rsid w:val="00E0502F"/>
    <w:rsid w:val="00E35AFD"/>
    <w:rsid w:val="00E908D5"/>
    <w:rsid w:val="00E97FB4"/>
    <w:rsid w:val="00ED0732"/>
    <w:rsid w:val="00ED1BB3"/>
    <w:rsid w:val="00EE18A6"/>
    <w:rsid w:val="00F76D1A"/>
    <w:rsid w:val="00F907AE"/>
    <w:rsid w:val="00FA359B"/>
    <w:rsid w:val="00FF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ACF0"/>
  <w15:chartTrackingRefBased/>
  <w15:docId w15:val="{5AA32E5D-A49C-4D52-B0E2-CBB2B06F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E3A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B574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8180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481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8A6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4105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105A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105A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05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05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ughe@aima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Ragazzi</dc:creator>
  <cp:keywords/>
  <dc:description/>
  <cp:lastModifiedBy>Eleonora Tirabassi</cp:lastModifiedBy>
  <cp:revision>5</cp:revision>
  <cp:lastPrinted>2022-03-10T10:55:00Z</cp:lastPrinted>
  <dcterms:created xsi:type="dcterms:W3CDTF">2025-10-06T07:45:00Z</dcterms:created>
  <dcterms:modified xsi:type="dcterms:W3CDTF">2025-10-07T12:13:00Z</dcterms:modified>
</cp:coreProperties>
</file>